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6C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0" w:lineRule="exact"/>
        <w:ind w:left="0" w:leftChars="0" w:firstLine="0" w:firstLineChars="0"/>
        <w:jc w:val="both"/>
        <w:textAlignment w:val="auto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FF0000"/>
          <w:w w:val="60"/>
          <w:sz w:val="144"/>
          <w:szCs w:val="144"/>
        </w:rPr>
        <w:t>枣庄市市中区人民政府</w:t>
      </w:r>
    </w:p>
    <w:p w14:paraId="3FA16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/>
        </w:rPr>
      </w:pPr>
    </w:p>
    <w:p w14:paraId="476E7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eastAsia="zh-CN"/>
        </w:rPr>
        <w:t>市中政字〔202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eastAsia="zh-CN"/>
        </w:rPr>
        <w:t>〕</w:t>
      </w:r>
      <w:r>
        <w:rPr>
          <w:rFonts w:hint="eastAsia" w:eastAsia="楷体_GB2312" w:cs="Times New Roman"/>
          <w:b w:val="0"/>
          <w:bCs w:val="0"/>
          <w:kern w:val="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eastAsia="zh-CN"/>
        </w:rPr>
        <w:t>号</w:t>
      </w:r>
    </w:p>
    <w:p w14:paraId="75B8C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ge">
                  <wp:posOffset>3629660</wp:posOffset>
                </wp:positionV>
                <wp:extent cx="5777865" cy="3175"/>
                <wp:effectExtent l="0" t="10795" r="1333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865" cy="3175"/>
                        </a:xfrm>
                        <a:prstGeom prst="line">
                          <a:avLst/>
                        </a:prstGeom>
                        <a:ln w="2159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4pt;margin-top:285.8pt;height:0.25pt;width:454.95pt;mso-position-horizontal-relative:page;mso-position-vertical-relative:page;z-index:251659264;mso-width-relative:page;mso-height-relative:page;" filled="f" stroked="t" coordsize="21600,21600" o:gfxdata="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XUhPtcAAAAMAQAADwAAAAAAAAABACAAAAAiAAAAZHJzL2Rvd25yZXYueG1sUEsBAhQAFAAAAAgA&#10;h07iQEqD0ywmAgAAUwQAAA4AAAAAAAAAAQAgAAAAJgEAAGRycy9lMm9Eb2MueG1sUEsFBgAAAAAG&#10;AAYAWQEAAL4FAAAAAA==&#10;">
                <v:fill on="f" focussize="0,0"/>
                <v:stroke weight="1.7pt" color="#FF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</w:p>
    <w:p w14:paraId="22B26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</w:p>
    <w:p w14:paraId="14053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枣庄市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市中区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人民政府</w:t>
      </w:r>
    </w:p>
    <w:p w14:paraId="7E434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highlight w:val="none"/>
        </w:rPr>
        <w:t>印发关于促进民营经济高质量发展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highlight w:val="none"/>
          <w:lang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highlight w:val="none"/>
        </w:rPr>
        <w:t>若干措施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的通知</w:t>
      </w:r>
    </w:p>
    <w:p w14:paraId="2137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cs="Times New Roman"/>
          <w:b/>
          <w:bCs/>
          <w:highlight w:val="none"/>
        </w:rPr>
      </w:pPr>
    </w:p>
    <w:p w14:paraId="382E88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7"/>
        </w:rPr>
        <w:t>各镇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lang w:val="en-US" w:eastAsia="zh-CN"/>
        </w:rPr>
        <w:t>人民政府</w:t>
      </w:r>
      <w:r>
        <w:rPr>
          <w:rFonts w:hint="eastAsia" w:cs="Times New Roman"/>
          <w:b w:val="0"/>
          <w:bCs w:val="0"/>
          <w:spacing w:val="7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lang w:val="en-US" w:eastAsia="zh-CN"/>
        </w:rPr>
        <w:t>各街道办事处，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区直各部门（单位），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lang w:val="en-US" w:eastAsia="zh-CN"/>
        </w:rPr>
        <w:t>各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专业公司，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</w:rPr>
        <w:t>国有企业</w:t>
      </w:r>
      <w:r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  <w:t>：</w:t>
      </w:r>
    </w:p>
    <w:p w14:paraId="15E8E3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  <w:t>现将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《</w:t>
      </w:r>
      <w:r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  <w:t>关于促进民营经济高质量发展的若干措施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》</w:t>
      </w:r>
      <w:r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  <w:t>印发给你们，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请认真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抓好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贯彻落实</w:t>
      </w:r>
      <w:r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  <w:t>。</w:t>
      </w:r>
    </w:p>
    <w:p w14:paraId="703F05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</w:pPr>
    </w:p>
    <w:p w14:paraId="4B5565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</w:pPr>
    </w:p>
    <w:p w14:paraId="3ADD3E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  <w:t>枣庄市市中区人民政府</w:t>
      </w:r>
    </w:p>
    <w:p w14:paraId="5F4F29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  <w:t>2026年</w:t>
      </w:r>
      <w:r>
        <w:rPr>
          <w:rFonts w:hint="eastAsia" w:cs="Times New Roman"/>
          <w:b w:val="0"/>
          <w:bCs w:val="0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  <w:t>月</w:t>
      </w:r>
      <w:r>
        <w:rPr>
          <w:rFonts w:hint="eastAsia" w:cs="Times New Roman"/>
          <w:b w:val="0"/>
          <w:bCs w:val="0"/>
          <w:highlight w:val="none"/>
          <w:lang w:val="en-US" w:eastAsia="zh-CN"/>
        </w:rPr>
        <w:t>13</w:t>
      </w:r>
      <w:r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  <w:t>日</w:t>
      </w:r>
    </w:p>
    <w:p w14:paraId="32C865A2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4B9005D2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此件公开发布</w:t>
      </w:r>
      <w:r>
        <w:rPr>
          <w:rFonts w:hint="default" w:ascii="Times New Roman" w:hAnsi="Times New Roman" w:cs="Times New Roman"/>
          <w:lang w:eastAsia="zh-CN"/>
        </w:rPr>
        <w:t>）</w:t>
      </w:r>
    </w:p>
    <w:p w14:paraId="4EC7AF4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highlight w:val="none"/>
        </w:rPr>
        <w:sectPr>
          <w:pgSz w:w="11906" w:h="16838"/>
          <w:pgMar w:top="1644" w:right="1644" w:bottom="1644" w:left="1644" w:header="851" w:footer="1077" w:gutter="0"/>
          <w:pgNumType w:fmt="decimal"/>
          <w:cols w:space="425" w:num="1"/>
          <w:docGrid w:type="lines" w:linePitch="312" w:charSpace="0"/>
        </w:sectPr>
      </w:pPr>
    </w:p>
    <w:p w14:paraId="781053B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highlight w:val="none"/>
        </w:rPr>
      </w:pPr>
      <w:r>
        <w:rPr>
          <w:rFonts w:hint="default" w:ascii="Times New Roman" w:hAnsi="Times New Roman" w:cs="Times New Roman"/>
          <w:b w:val="0"/>
          <w:bCs/>
          <w:highlight w:val="none"/>
        </w:rPr>
        <w:t>关于促进民营经济高质量发展的若干措施</w:t>
      </w:r>
    </w:p>
    <w:p w14:paraId="59A546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highlight w:val="none"/>
        </w:rPr>
      </w:pPr>
    </w:p>
    <w:p w14:paraId="48D1FD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为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深入学习贯彻</w:t>
      </w:r>
      <w:r>
        <w:rPr>
          <w:rFonts w:hint="default" w:ascii="Times New Roman" w:hAnsi="Times New Roman" w:cs="Times New Roman"/>
          <w:highlight w:val="none"/>
        </w:rPr>
        <w:t>习近平总书记关于民营经济发展的重要论述，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认真落实《中华人民共和国民营经济促进法》《山东省民营经济促进条例》，</w:t>
      </w:r>
      <w:r>
        <w:rPr>
          <w:rFonts w:hint="default" w:ascii="Times New Roman" w:hAnsi="Times New Roman" w:cs="Times New Roman"/>
          <w:highlight w:val="none"/>
        </w:rPr>
        <w:t>切实为民营企业解难题、办实事，支持引导民营企业大显身手，促进全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cs="Times New Roman"/>
          <w:highlight w:val="none"/>
        </w:rPr>
        <w:t>民营经济高质量发展，制定以下措施。</w:t>
      </w:r>
    </w:p>
    <w:p w14:paraId="64DC9E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一、持续优化民营经济发展环境</w:t>
      </w:r>
    </w:p>
    <w:p w14:paraId="2488FB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</w:rPr>
        <w:t>一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highlight w:val="none"/>
        </w:rPr>
        <w:t>坚决破除公平市场竞争障碍。</w:t>
      </w:r>
      <w:r>
        <w:rPr>
          <w:rFonts w:hint="default" w:ascii="Times New Roman" w:hAnsi="Times New Roman" w:cs="Times New Roman"/>
          <w:highlight w:val="none"/>
        </w:rPr>
        <w:t>全面落实《市场准入负面清单》，未列入负面清单的领域，民营企业均可依法平等进入</w:t>
      </w:r>
      <w:r>
        <w:rPr>
          <w:rFonts w:hint="default" w:ascii="Times New Roman" w:hAnsi="Times New Roman" w:cs="Times New Roman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highlight w:val="none"/>
        </w:rPr>
        <w:t>严格落实公平竞争审查制度，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制止和纠正</w:t>
      </w:r>
      <w:r>
        <w:rPr>
          <w:rFonts w:hint="default" w:ascii="Times New Roman" w:hAnsi="Times New Roman" w:cs="Times New Roman"/>
          <w:highlight w:val="none"/>
        </w:rPr>
        <w:t>滥用行政权力、排除限制竞争行为。持续整治地方保护、市场分割等突出问题，大力纠治不当市场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干</w:t>
      </w:r>
      <w:r>
        <w:rPr>
          <w:rFonts w:hint="default" w:ascii="Times New Roman" w:hAnsi="Times New Roman" w:cs="Times New Roman"/>
          <w:highlight w:val="none"/>
        </w:rPr>
        <w:t>预行为。不定期开展妨碍民营企业发展政策措施清理工作，保障民营企业公平参与市场竞争。</w:t>
      </w:r>
      <w:r>
        <w:rPr>
          <w:rFonts w:hint="eastAsia" w:eastAsia="楷体_GB2312" w:cs="Times New Roman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highlight w:val="none"/>
        </w:rPr>
        <w:t>责任单位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区发展和改革局</w:t>
      </w:r>
      <w:r>
        <w:rPr>
          <w:rFonts w:hint="default" w:ascii="Times New Roman" w:hAnsi="Times New Roman" w:eastAsia="楷体_GB2312" w:cs="Times New Roman"/>
          <w:highlight w:val="none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</w:rPr>
        <w:t>财政局、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区商务和投资促进</w:t>
      </w:r>
      <w:r>
        <w:rPr>
          <w:rFonts w:hint="default" w:ascii="Times New Roman" w:hAnsi="Times New Roman" w:eastAsia="楷体_GB2312" w:cs="Times New Roman"/>
          <w:highlight w:val="none"/>
        </w:rPr>
        <w:t>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区行政审批服务</w:t>
      </w:r>
      <w:r>
        <w:rPr>
          <w:rFonts w:hint="default" w:ascii="Times New Roman" w:hAnsi="Times New Roman" w:eastAsia="楷体_GB2312" w:cs="Times New Roman"/>
          <w:highlight w:val="none"/>
        </w:rPr>
        <w:t>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</w:rPr>
        <w:t>市场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监督管理</w:t>
      </w:r>
      <w:r>
        <w:rPr>
          <w:rFonts w:hint="default" w:ascii="Times New Roman" w:hAnsi="Times New Roman" w:eastAsia="楷体_GB2312" w:cs="Times New Roman"/>
          <w:highlight w:val="none"/>
        </w:rPr>
        <w:t>局</w:t>
      </w:r>
      <w:r>
        <w:rPr>
          <w:rFonts w:hint="eastAsia" w:eastAsia="楷体_GB2312" w:cs="Times New Roman"/>
          <w:highlight w:val="none"/>
          <w:lang w:eastAsia="zh-CN"/>
        </w:rPr>
        <w:t>）</w:t>
      </w:r>
    </w:p>
    <w:p w14:paraId="529F09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highlight w:val="none"/>
        </w:rPr>
        <w:t>规范建设工程招投标和政府采购活动。</w:t>
      </w:r>
      <w:r>
        <w:rPr>
          <w:rFonts w:hint="default" w:ascii="Times New Roman" w:hAnsi="Times New Roman" w:cs="Times New Roman"/>
          <w:highlight w:val="none"/>
        </w:rPr>
        <w:t>持续开展工程建设招标投标领域突出问题专项治理，推行远程异地评标、多点分散评标，全面清理隐性门槛和不合理限制，依法保障市场主体平等参与权。进一步规范政府采购市场秩序，加大政府采购监督检查力度，将是否设置差别歧视条款作为“四类”问题专项整治的重要内容，提高采购透明度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落实</w:t>
      </w:r>
      <w:r>
        <w:rPr>
          <w:rFonts w:hint="default" w:ascii="Times New Roman" w:hAnsi="Times New Roman" w:cs="Times New Roman"/>
          <w:highlight w:val="none"/>
        </w:rPr>
        <w:t>中小民营企业政府采购评审优惠。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highlight w:val="none"/>
        </w:rPr>
        <w:t>责任单位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区发展和改革局</w:t>
      </w:r>
      <w:r>
        <w:rPr>
          <w:rFonts w:hint="default" w:ascii="Times New Roman" w:hAnsi="Times New Roman" w:eastAsia="楷体_GB2312" w:cs="Times New Roman"/>
          <w:highlight w:val="none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</w:rPr>
        <w:t>财政局、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</w:rPr>
        <w:t>住房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</w:rPr>
        <w:t>城乡建设局、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</w:rPr>
        <w:t>交通运输局、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</w:rPr>
        <w:t>城乡水务局、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区行政</w:t>
      </w:r>
      <w:r>
        <w:rPr>
          <w:rFonts w:hint="default" w:ascii="Times New Roman" w:hAnsi="Times New Roman" w:eastAsia="楷体_GB2312" w:cs="Times New Roman"/>
          <w:highlight w:val="none"/>
        </w:rPr>
        <w:t>审批服务局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）</w:t>
      </w:r>
    </w:p>
    <w:p w14:paraId="2FB44B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加大拖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欠账款清理力度。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严格执行《保障中小企业款项支付条例》，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健全清理和防止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拖欠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民营中小企业账款长效工作机制，加大对拖欠民营企业账款的排查和清理力度，持续加强审计监督，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将拖欠民营企业账款情况</w:t>
      </w:r>
      <w:r>
        <w:rPr>
          <w:rFonts w:hint="default" w:ascii="Times New Roman" w:hAnsi="Times New Roman" w:cs="Times New Roman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侵害人民群众利益等多项突出问题纳入重点考核范畴，着力破解市场主体痛点难点，维护民营企业合法权益。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加大对在建项目工程款支付担保、施工过程结算等工作的监督检查。开展欠薪欠款“点题整治”行动，选择一批企业账款拖欠线索开展专项整治。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工业和信息化局、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区财政局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住房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城乡建设局、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审计局、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区国有资产监督管理局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）</w:t>
      </w:r>
    </w:p>
    <w:p w14:paraId="1A8F25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）优化涉企行政检查。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建立民营企业分级分类监管体系</w:t>
      </w:r>
      <w:r>
        <w:rPr>
          <w:rFonts w:hint="default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大力推广远程监管、移动监管、预警监管等非现场监管模式，减少执法扰企扰民。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推广“鲁执法”平台深度应用，深化“综合查一次”改革，推动多部门和部门内部间联合检查，实现“进一次门、查多项事”，提升涉企联动监管效能；按企业信用分级分类施策，推广非现场“无感检查”；推行柔性执法，落实“不罚轻罚”清单和“三书同达”，助力企业信用修复，推动执法行为提质规范。</w:t>
      </w:r>
      <w:r>
        <w:rPr>
          <w:rFonts w:hint="eastAsia" w:eastAsia="楷体_GB2312" w:cs="Times New Roman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司法局、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人力资源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社会保障局、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自然资源局、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生态环境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分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住房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城乡建设局、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交</w:t>
      </w:r>
      <w:r>
        <w:rPr>
          <w:rFonts w:hint="default" w:ascii="Times New Roman" w:hAnsi="Times New Roman" w:eastAsia="楷体_GB2312" w:cs="Times New Roman"/>
          <w:spacing w:val="-6"/>
          <w:sz w:val="32"/>
          <w:highlight w:val="none"/>
          <w:lang w:eastAsia="zh-CN"/>
        </w:rPr>
        <w:t>通运输局、</w:t>
      </w:r>
      <w:r>
        <w:rPr>
          <w:rFonts w:hint="default" w:ascii="Times New Roman" w:hAnsi="Times New Roman" w:eastAsia="楷体_GB2312" w:cs="Times New Roman"/>
          <w:spacing w:val="-6"/>
          <w:sz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spacing w:val="-6"/>
          <w:sz w:val="32"/>
          <w:highlight w:val="none"/>
          <w:lang w:eastAsia="zh-CN"/>
        </w:rPr>
        <w:t>文化和旅游局、</w:t>
      </w:r>
      <w:r>
        <w:rPr>
          <w:rFonts w:hint="default" w:ascii="Times New Roman" w:hAnsi="Times New Roman" w:eastAsia="楷体_GB2312" w:cs="Times New Roman"/>
          <w:spacing w:val="-6"/>
          <w:sz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spacing w:val="-6"/>
          <w:sz w:val="32"/>
          <w:highlight w:val="none"/>
          <w:lang w:eastAsia="zh-CN"/>
        </w:rPr>
        <w:t>应急</w:t>
      </w:r>
      <w:r>
        <w:rPr>
          <w:rFonts w:hint="default" w:ascii="Times New Roman" w:hAnsi="Times New Roman" w:eastAsia="楷体_GB2312" w:cs="Times New Roman"/>
          <w:spacing w:val="-6"/>
          <w:sz w:val="32"/>
          <w:highlight w:val="none"/>
          <w:lang w:val="en-US" w:eastAsia="zh-CN"/>
        </w:rPr>
        <w:t>管理</w:t>
      </w:r>
      <w:r>
        <w:rPr>
          <w:rFonts w:hint="default" w:ascii="Times New Roman" w:hAnsi="Times New Roman" w:eastAsia="楷体_GB2312" w:cs="Times New Roman"/>
          <w:spacing w:val="-6"/>
          <w:sz w:val="32"/>
          <w:highlight w:val="none"/>
          <w:lang w:eastAsia="zh-CN"/>
        </w:rPr>
        <w:t>局、</w:t>
      </w:r>
      <w:r>
        <w:rPr>
          <w:rFonts w:hint="default" w:ascii="Times New Roman" w:hAnsi="Times New Roman" w:eastAsia="楷体_GB2312" w:cs="Times New Roman"/>
          <w:spacing w:val="-6"/>
          <w:sz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spacing w:val="-6"/>
          <w:sz w:val="32"/>
          <w:highlight w:val="none"/>
          <w:lang w:eastAsia="zh-CN"/>
        </w:rPr>
        <w:t>市场</w:t>
      </w:r>
      <w:r>
        <w:rPr>
          <w:rFonts w:hint="default" w:ascii="Times New Roman" w:hAnsi="Times New Roman" w:eastAsia="楷体_GB2312" w:cs="Times New Roman"/>
          <w:spacing w:val="-6"/>
          <w:sz w:val="32"/>
          <w:highlight w:val="none"/>
          <w:lang w:val="en-US" w:eastAsia="zh-CN"/>
        </w:rPr>
        <w:t>监督管理</w:t>
      </w:r>
      <w:r>
        <w:rPr>
          <w:rFonts w:hint="default" w:ascii="Times New Roman" w:hAnsi="Times New Roman" w:eastAsia="楷体_GB2312" w:cs="Times New Roman"/>
          <w:spacing w:val="-6"/>
          <w:sz w:val="32"/>
          <w:highlight w:val="none"/>
          <w:lang w:eastAsia="zh-CN"/>
        </w:rPr>
        <w:t>局</w:t>
      </w:r>
      <w:r>
        <w:rPr>
          <w:rFonts w:hint="eastAsia" w:eastAsia="楷体_GB2312" w:cs="Times New Roman"/>
          <w:spacing w:val="-6"/>
          <w:sz w:val="32"/>
          <w:highlight w:val="none"/>
          <w:lang w:eastAsia="zh-CN"/>
        </w:rPr>
        <w:t>）</w:t>
      </w:r>
    </w:p>
    <w:p w14:paraId="19B855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）依法依规办理涉企案件。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持续深入开展“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兴企优商 执法护航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”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五项行动，健全完善“六项机制”，持续深化执法司法规范化建设，坚决打击各类涉企违法犯罪，聚焦提升涉企案件办理质效，全流程护航涉企案件的办理。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坚决打击各类涉企违法犯罪</w:t>
      </w:r>
      <w:r>
        <w:rPr>
          <w:rFonts w:hint="default" w:ascii="Times New Roman" w:hAnsi="Times New Roman" w:cs="Times New Roman"/>
          <w:highlight w:val="none"/>
          <w:lang w:eastAsia="zh-CN"/>
        </w:rPr>
        <w:t>，不得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使用刑事手段</w:t>
      </w:r>
      <w:r>
        <w:rPr>
          <w:rFonts w:hint="default" w:ascii="Times New Roman" w:hAnsi="Times New Roman" w:cs="Times New Roman"/>
          <w:highlight w:val="none"/>
          <w:lang w:eastAsia="zh-CN"/>
        </w:rPr>
        <w:t>干预民商事涉企法律纠纷。深化涉民营企业民事纠纷案件快速办理机制，除特殊情形需要延长办案期限外，对于涉企纠纷一审案件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争取</w:t>
      </w:r>
      <w:r>
        <w:rPr>
          <w:rFonts w:hint="default" w:ascii="Times New Roman" w:hAnsi="Times New Roman" w:cs="Times New Roman"/>
          <w:highlight w:val="none"/>
          <w:lang w:eastAsia="zh-CN"/>
        </w:rPr>
        <w:t>6个月内结案，二审案件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争取</w:t>
      </w:r>
      <w:r>
        <w:rPr>
          <w:rFonts w:hint="default" w:ascii="Times New Roman" w:hAnsi="Times New Roman" w:cs="Times New Roman"/>
          <w:highlight w:val="none"/>
          <w:lang w:eastAsia="zh-CN"/>
        </w:rPr>
        <w:t>3个月内结案。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发挥刑事审判职能，依法惩治侵犯企业和企业家合法权益犯罪。依法依规办理涉企案件，通过规范使用跨省涉企案件办理平台，依法依规接收和移送跨省涉企案件，有效杜绝超管辖权限的涉企案件办理。坚决打击各类涉企违法犯罪，成立涉企执法监督管理委员会，严厉惩处有案不立、压案不查和逐利执法等执法顽瘴痼疾。严格涉企案件审核审批，按照“首违不罚”“首违轻罚”等相关措施，依法告知和保障涉事企业听证申诉等权利，持续优化法治营商环境。强化知识产权司法保护，加大对重点领域、关键环节侵犯知识产权违法犯罪行为的打击力度。加强知识产权检察综合履职护航创新驱动发展，加大对侵权假冒犯罪的打击力度，强化“全链条”打击。加大对涉企民事行政诉讼监督，着重监督纠正虚假诉讼、恶意诉讼等侵犯企业合法权益的民商事案件，着力减少涉诉案件对企业的影响。</w:t>
      </w:r>
      <w:r>
        <w:rPr>
          <w:rFonts w:hint="default" w:ascii="Times New Roman" w:hAnsi="Times New Roman" w:cs="Times New Roman"/>
          <w:highlight w:val="none"/>
          <w:lang w:eastAsia="zh-CN"/>
        </w:rPr>
        <w:t>常态化开展行政复议“入园区进企业”活动，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严格执行涉企案件绿色通道机制，</w:t>
      </w:r>
      <w:r>
        <w:rPr>
          <w:rFonts w:hint="default" w:ascii="Times New Roman" w:hAnsi="Times New Roman" w:cs="Times New Roman"/>
          <w:highlight w:val="none"/>
          <w:lang w:eastAsia="zh-CN"/>
        </w:rPr>
        <w:t>保护民营企业合法权益。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</w:t>
      </w:r>
      <w:r>
        <w:rPr>
          <w:rFonts w:hint="default" w:ascii="Times New Roman" w:hAnsi="Times New Roman" w:eastAsia="楷体_GB2312" w:cs="Times New Roman"/>
          <w:spacing w:val="-11"/>
          <w:sz w:val="32"/>
          <w:highlight w:val="none"/>
          <w:lang w:eastAsia="zh-CN"/>
        </w:rPr>
        <w:t>单位：</w:t>
      </w:r>
      <w:r>
        <w:rPr>
          <w:rFonts w:hint="default" w:ascii="Times New Roman" w:hAnsi="Times New Roman" w:eastAsia="楷体_GB2312" w:cs="Times New Roman"/>
          <w:spacing w:val="-11"/>
          <w:sz w:val="32"/>
          <w:highlight w:val="none"/>
          <w:lang w:val="en-US" w:eastAsia="zh-CN"/>
        </w:rPr>
        <w:t>区委</w:t>
      </w:r>
      <w:r>
        <w:rPr>
          <w:rFonts w:hint="default" w:ascii="Times New Roman" w:hAnsi="Times New Roman" w:eastAsia="楷体_GB2312" w:cs="Times New Roman"/>
          <w:spacing w:val="-11"/>
          <w:sz w:val="32"/>
          <w:highlight w:val="none"/>
          <w:lang w:eastAsia="zh-CN"/>
        </w:rPr>
        <w:t>政法委、</w:t>
      </w:r>
      <w:r>
        <w:rPr>
          <w:rFonts w:hint="default" w:ascii="Times New Roman" w:hAnsi="Times New Roman" w:eastAsia="楷体_GB2312" w:cs="Times New Roman"/>
          <w:spacing w:val="-11"/>
          <w:sz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spacing w:val="-11"/>
          <w:sz w:val="32"/>
          <w:highlight w:val="none"/>
          <w:lang w:eastAsia="zh-CN"/>
        </w:rPr>
        <w:t>法院、</w:t>
      </w:r>
      <w:r>
        <w:rPr>
          <w:rFonts w:hint="default" w:ascii="Times New Roman" w:hAnsi="Times New Roman" w:eastAsia="楷体_GB2312" w:cs="Times New Roman"/>
          <w:spacing w:val="-11"/>
          <w:sz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spacing w:val="-11"/>
          <w:sz w:val="32"/>
          <w:highlight w:val="none"/>
          <w:lang w:eastAsia="zh-CN"/>
        </w:rPr>
        <w:t>检察院、</w:t>
      </w:r>
      <w:r>
        <w:rPr>
          <w:rFonts w:hint="default" w:ascii="Times New Roman" w:hAnsi="Times New Roman" w:eastAsia="楷体_GB2312" w:cs="Times New Roman"/>
          <w:spacing w:val="-11"/>
          <w:sz w:val="32"/>
          <w:highlight w:val="none"/>
          <w:lang w:val="en-US" w:eastAsia="zh-CN"/>
        </w:rPr>
        <w:t>市中</w:t>
      </w:r>
      <w:r>
        <w:rPr>
          <w:rFonts w:hint="default" w:ascii="Times New Roman" w:hAnsi="Times New Roman" w:eastAsia="楷体_GB2312" w:cs="Times New Roman"/>
          <w:spacing w:val="-11"/>
          <w:sz w:val="32"/>
          <w:highlight w:val="none"/>
          <w:lang w:eastAsia="zh-CN"/>
        </w:rPr>
        <w:t>公安</w:t>
      </w:r>
      <w:r>
        <w:rPr>
          <w:rFonts w:hint="default" w:ascii="Times New Roman" w:hAnsi="Times New Roman" w:eastAsia="楷体_GB2312" w:cs="Times New Roman"/>
          <w:spacing w:val="-11"/>
          <w:sz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楷体_GB2312" w:cs="Times New Roman"/>
          <w:spacing w:val="-11"/>
          <w:sz w:val="32"/>
          <w:highlight w:val="none"/>
          <w:lang w:eastAsia="zh-CN"/>
        </w:rPr>
        <w:t>局、</w:t>
      </w:r>
      <w:r>
        <w:rPr>
          <w:rFonts w:hint="default" w:ascii="Times New Roman" w:hAnsi="Times New Roman" w:eastAsia="楷体_GB2312" w:cs="Times New Roman"/>
          <w:spacing w:val="-11"/>
          <w:sz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spacing w:val="-11"/>
          <w:sz w:val="32"/>
          <w:highlight w:val="none"/>
          <w:lang w:eastAsia="zh-CN"/>
        </w:rPr>
        <w:t>司法局）</w:t>
      </w:r>
    </w:p>
    <w:p w14:paraId="4D6B92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highlight w:val="none"/>
          <w:lang w:eastAsia="zh-CN"/>
        </w:rPr>
        <w:t>二、强化民营经济要素保障</w:t>
      </w:r>
    </w:p>
    <w:p w14:paraId="07EFEB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）加大金融机构信贷投放力度。</w:t>
      </w:r>
      <w:r>
        <w:rPr>
          <w:rFonts w:hint="default" w:ascii="Times New Roman" w:hAnsi="Times New Roman" w:cs="Times New Roman"/>
          <w:highlight w:val="none"/>
          <w:lang w:eastAsia="zh-CN"/>
        </w:rPr>
        <w:t>发挥支持小微企业融资协调工作机制作用，建立民营企业金融直连服务机制，用足用好支农支小再贷款、科技创新和技术改造再贷款等政策工具，鼓励金融机构为民营企业提供“无缝续贷”“无还本续贷”服务。鼓励民营企业开展政府采购合同融资，实施“政采贷”，支持参与政府采购并中标的中小企业供应商，以政府采购合同为信用担保，从金融机构获得无抵押、低利率、简单快捷的融资服务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深化政务数据共享应用，发挥好</w:t>
      </w:r>
      <w:r>
        <w:rPr>
          <w:rFonts w:hint="default" w:ascii="Times New Roman" w:hAnsi="Times New Roman" w:cs="Times New Roman"/>
          <w:highlight w:val="none"/>
          <w:lang w:eastAsia="zh-CN"/>
        </w:rPr>
        <w:t>枣庄市智慧金融综合服务平台信用服务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作用</w:t>
      </w:r>
      <w:r>
        <w:rPr>
          <w:rFonts w:hint="default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缓解民营企业融资难、融资贵问题</w:t>
      </w:r>
      <w:r>
        <w:rPr>
          <w:rFonts w:hint="default" w:ascii="Times New Roman" w:hAnsi="Times New Roman" w:cs="Times New Roman"/>
          <w:highlight w:val="none"/>
          <w:lang w:eastAsia="zh-CN"/>
        </w:rPr>
        <w:t>。扩大民营房地产“白名单”企业新增贷款投放，切实满足房地产项目合理融资需求。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鼓励转贷运营机构</w:t>
      </w:r>
      <w:r>
        <w:rPr>
          <w:rFonts w:hint="default" w:ascii="Times New Roman" w:hAnsi="Times New Roman" w:cs="Times New Roman"/>
          <w:highlight w:val="none"/>
          <w:lang w:eastAsia="zh-CN"/>
        </w:rPr>
        <w:t>将应急转贷资源向民营中小微企业倾斜，降低应急转贷费率，不断提升转贷服务效能。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发展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改革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科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学技术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工业和信息化局、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财政局、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住房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城乡建设局）</w:t>
      </w:r>
    </w:p>
    <w:p w14:paraId="707DF7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）拓宽民营企业融资渠道。</w:t>
      </w:r>
      <w:r>
        <w:rPr>
          <w:rFonts w:hint="default" w:ascii="Times New Roman" w:hAnsi="Times New Roman" w:cs="Times New Roman"/>
          <w:highlight w:val="none"/>
          <w:lang w:eastAsia="zh-CN"/>
        </w:rPr>
        <w:t>积极培育政府性引导基金、创投基金等耐心资本，鼓励投早、投小、投长期、投硬科技。加强上市后备企业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辅导培育</w:t>
      </w:r>
      <w:r>
        <w:rPr>
          <w:rFonts w:hint="default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支持民营企业通过上市融资、并购重组等方式做大做强。</w:t>
      </w:r>
      <w:r>
        <w:rPr>
          <w:rFonts w:hint="default" w:ascii="Times New Roman" w:hAnsi="Times New Roman" w:cs="Times New Roman"/>
          <w:highlight w:val="none"/>
          <w:lang w:eastAsia="zh-CN"/>
        </w:rPr>
        <w:t>推进政府性融资担保业务扩面和产品创新，创新开发支持民营企业的个性化担保产品。鼓励民间投资项目发行基础设施REIT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s</w:t>
      </w:r>
      <w:r>
        <w:rPr>
          <w:rFonts w:hint="default" w:ascii="Times New Roman" w:hAnsi="Times New Roman" w:cs="Times New Roman"/>
          <w:highlight w:val="none"/>
          <w:lang w:eastAsia="zh-CN"/>
        </w:rPr>
        <w:t>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发展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改革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科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学技术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司法局、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财政局）</w:t>
      </w:r>
    </w:p>
    <w:p w14:paraId="0CC581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八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）加强土地要素保障力度。</w:t>
      </w:r>
      <w:r>
        <w:rPr>
          <w:rFonts w:hint="default" w:ascii="Times New Roman" w:hAnsi="Times New Roman" w:cs="Times New Roman"/>
          <w:highlight w:val="none"/>
          <w:lang w:eastAsia="zh-CN"/>
        </w:rPr>
        <w:t>用好省自然资源厅单列指标专项支持政策，积极争取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市</w:t>
      </w:r>
      <w:r>
        <w:rPr>
          <w:rFonts w:hint="default" w:ascii="Times New Roman" w:hAnsi="Times New Roman" w:cs="Times New Roman"/>
          <w:highlight w:val="none"/>
          <w:lang w:eastAsia="zh-CN"/>
        </w:rPr>
        <w:t>级新增建设用地指标保障我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cs="Times New Roman"/>
          <w:highlight w:val="none"/>
          <w:lang w:eastAsia="zh-CN"/>
        </w:rPr>
        <w:t>民营企业项目新增用地需求。切实落实“项目跟着规划走，要素跟着项目走”，对符合国土空间规划和真实有效的民营企业项目应保尽保，确保不让成熟项目等指标。支持民营企业在符合国土空间规划、消防要求等前提下提高工业用地利用效率，支持民营企业选择长期租赁、先租后让、弹性年期出让等适宜的用地方式。深入推进“标准地”出让改革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将“标准地+承诺制”覆盖新增工业用地全过程。</w:t>
      </w:r>
      <w:r>
        <w:rPr>
          <w:rFonts w:hint="default" w:ascii="Times New Roman" w:hAnsi="Times New Roman" w:cs="Times New Roman"/>
          <w:highlight w:val="none"/>
          <w:lang w:eastAsia="zh-CN"/>
        </w:rPr>
        <w:t>强化园区基础设施和标准厂房建设，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完善</w:t>
      </w:r>
      <w:r>
        <w:rPr>
          <w:rFonts w:hint="default" w:ascii="Times New Roman" w:hAnsi="Times New Roman" w:cs="Times New Roman"/>
          <w:highlight w:val="none"/>
          <w:lang w:eastAsia="zh-CN"/>
        </w:rPr>
        <w:t>“零增地”服务体系，为企业提供定制化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的</w:t>
      </w:r>
      <w:r>
        <w:rPr>
          <w:rFonts w:hint="default" w:ascii="Times New Roman" w:hAnsi="Times New Roman" w:cs="Times New Roman"/>
          <w:highlight w:val="none"/>
          <w:lang w:eastAsia="zh-CN"/>
        </w:rPr>
        <w:t>用地解决方案。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发展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改革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工业和信息化局、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自然资源局、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区行政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审批服务局）</w:t>
      </w:r>
    </w:p>
    <w:p w14:paraId="6D0990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pacing w:val="6"/>
          <w:sz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九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）强化人才用工保障。</w:t>
      </w:r>
      <w:r>
        <w:rPr>
          <w:rFonts w:hint="default" w:ascii="Times New Roman" w:hAnsi="Times New Roman" w:cs="Times New Roman"/>
          <w:highlight w:val="none"/>
          <w:lang w:eastAsia="zh-CN"/>
        </w:rPr>
        <w:t>深入推进“榴枣归乡”工程，鼓励大学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毕业生</w:t>
      </w:r>
      <w:r>
        <w:rPr>
          <w:rFonts w:hint="default" w:ascii="Times New Roman" w:hAnsi="Times New Roman" w:cs="Times New Roman"/>
          <w:highlight w:val="none"/>
          <w:lang w:eastAsia="zh-CN"/>
        </w:rPr>
        <w:t>来枣留枣就业，对符合申请就业补贴条件的人员，按标准及时发放就业补贴。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加强工匠学院建设，广泛开展业务培训，提升民营企业产业工人技术、技能。</w:t>
      </w:r>
      <w:r>
        <w:rPr>
          <w:rFonts w:hint="default" w:ascii="Times New Roman" w:hAnsi="Times New Roman" w:cs="Times New Roman"/>
          <w:highlight w:val="none"/>
          <w:lang w:eastAsia="zh-CN"/>
        </w:rPr>
        <w:t>深化校企合作，鼓励民营企业与职业院校、技工学校开展技能人才定向培养、订单培养和联合培养，共建实训基地，发挥园区培训赋能中心资源优势，开展规模化培训，培育一批高素质、高技能人才。深入开展企业用工保障服务专项行动，持续推广宣传“枣工快递”用工服务平台，常态化组织线上线下招聘，精准服务民营企业用工。面向民营企业开展职称申报评审服务专项行动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做好</w:t>
      </w:r>
      <w:r>
        <w:rPr>
          <w:rFonts w:hint="default" w:ascii="Times New Roman" w:hAnsi="Times New Roman" w:cs="Times New Roman"/>
          <w:highlight w:val="none"/>
          <w:lang w:eastAsia="zh-CN"/>
        </w:rPr>
        <w:t>中小微企业职称申报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服务支持</w:t>
      </w:r>
      <w:r>
        <w:rPr>
          <w:rFonts w:hint="default" w:ascii="Times New Roman" w:hAnsi="Times New Roman" w:cs="Times New Roman"/>
          <w:highlight w:val="none"/>
          <w:lang w:eastAsia="zh-CN"/>
        </w:rPr>
        <w:t>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总工会、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spacing w:val="6"/>
          <w:sz w:val="32"/>
          <w:highlight w:val="none"/>
          <w:lang w:eastAsia="zh-CN"/>
        </w:rPr>
        <w:t>工商联、</w:t>
      </w:r>
      <w:r>
        <w:rPr>
          <w:rFonts w:hint="default" w:ascii="Times New Roman" w:hAnsi="Times New Roman" w:eastAsia="楷体_GB2312" w:cs="Times New Roman"/>
          <w:spacing w:val="6"/>
          <w:sz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spacing w:val="6"/>
          <w:sz w:val="32"/>
          <w:highlight w:val="none"/>
          <w:lang w:eastAsia="zh-CN"/>
        </w:rPr>
        <w:t>教育</w:t>
      </w:r>
      <w:r>
        <w:rPr>
          <w:rFonts w:hint="default" w:ascii="Times New Roman" w:hAnsi="Times New Roman" w:eastAsia="楷体_GB2312" w:cs="Times New Roman"/>
          <w:spacing w:val="6"/>
          <w:sz w:val="32"/>
          <w:highlight w:val="none"/>
          <w:lang w:val="en-US" w:eastAsia="zh-CN"/>
        </w:rPr>
        <w:t>和体育</w:t>
      </w:r>
      <w:r>
        <w:rPr>
          <w:rFonts w:hint="default" w:ascii="Times New Roman" w:hAnsi="Times New Roman" w:eastAsia="楷体_GB2312" w:cs="Times New Roman"/>
          <w:spacing w:val="6"/>
          <w:sz w:val="32"/>
          <w:highlight w:val="none"/>
          <w:lang w:eastAsia="zh-CN"/>
        </w:rPr>
        <w:t>局、</w:t>
      </w:r>
      <w:r>
        <w:rPr>
          <w:rFonts w:hint="default" w:ascii="Times New Roman" w:hAnsi="Times New Roman" w:eastAsia="楷体_GB2312" w:cs="Times New Roman"/>
          <w:spacing w:val="6"/>
          <w:sz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spacing w:val="6"/>
          <w:sz w:val="32"/>
          <w:highlight w:val="none"/>
          <w:lang w:eastAsia="zh-CN"/>
        </w:rPr>
        <w:t>财政局、</w:t>
      </w:r>
      <w:r>
        <w:rPr>
          <w:rFonts w:hint="default" w:ascii="Times New Roman" w:hAnsi="Times New Roman" w:eastAsia="楷体_GB2312" w:cs="Times New Roman"/>
          <w:spacing w:val="6"/>
          <w:sz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spacing w:val="6"/>
          <w:sz w:val="32"/>
          <w:highlight w:val="none"/>
          <w:lang w:eastAsia="zh-CN"/>
        </w:rPr>
        <w:t>人力资源</w:t>
      </w:r>
      <w:r>
        <w:rPr>
          <w:rFonts w:hint="default" w:ascii="Times New Roman" w:hAnsi="Times New Roman" w:eastAsia="楷体_GB2312" w:cs="Times New Roman"/>
          <w:spacing w:val="6"/>
          <w:sz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spacing w:val="6"/>
          <w:sz w:val="32"/>
          <w:highlight w:val="none"/>
          <w:lang w:eastAsia="zh-CN"/>
        </w:rPr>
        <w:t>社会保障局）</w:t>
      </w:r>
    </w:p>
    <w:p w14:paraId="7E8DFA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highlight w:val="none"/>
          <w:lang w:eastAsia="zh-CN"/>
        </w:rPr>
        <w:t>三、支持民营企业创新发展</w:t>
      </w:r>
    </w:p>
    <w:p w14:paraId="4B34AA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十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）培育壮大市场主体。</w:t>
      </w:r>
      <w:r>
        <w:rPr>
          <w:rFonts w:hint="default" w:ascii="Times New Roman" w:hAnsi="Times New Roman" w:cs="Times New Roman"/>
          <w:highlight w:val="none"/>
          <w:lang w:eastAsia="zh-CN"/>
        </w:rPr>
        <w:t>健全完善全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cs="Times New Roman"/>
          <w:highlight w:val="none"/>
          <w:lang w:eastAsia="zh-CN"/>
        </w:rPr>
        <w:t>民营企业50强储备库。对首次入选山东省民营企业100强的企业按规定给予奖励。对符合要求的新增“四上”民营企业根据有关规定进行奖补。建立健全“高成长企业培育库”，健全完善优质企业梯次培育体系，“一企一档”分类指导。推行个体工商户分型分类精准帮扶机制，鼓励符合条件的经营者主动申报“名特优新”个体工商户，培育发展标杆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工商联、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发展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改革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区科学技术局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工业和信息化局、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财政局、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人力资源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社会保障局、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住房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城乡建设局、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商务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和投资促进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市场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监督管理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局）</w:t>
      </w:r>
    </w:p>
    <w:p w14:paraId="2CD446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十一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）激发民营企业创新活力。</w:t>
      </w:r>
      <w:r>
        <w:rPr>
          <w:rFonts w:hint="default" w:ascii="Times New Roman" w:hAnsi="Times New Roman" w:cs="Times New Roman"/>
          <w:highlight w:val="none"/>
          <w:lang w:eastAsia="zh-CN"/>
        </w:rPr>
        <w:t>鼓励科研院所、重大创新平台向民营企业转移转化科技成果，鼓励民营企业积极参与创新平台建设，对新认定的国家级制造业创新中心、技术创新中心、产业创新中心、工业设计中心（研究院）、企业技术中心、工程研究中心，分别按规定给予奖励。推进5G等新型基础设施建设，支持民营企业加快企业内网改造。严格依法落实研发费用税前加计扣除等政策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积极协助企业争取</w:t>
      </w:r>
      <w:r>
        <w:rPr>
          <w:rFonts w:hint="default" w:ascii="Times New Roman" w:hAnsi="Times New Roman" w:cs="Times New Roman"/>
          <w:highlight w:val="none"/>
          <w:lang w:eastAsia="zh-CN"/>
        </w:rPr>
        <w:t>“算力券”奖补，对按规定购买或提供人工智能算力并且应用成果显著的民营企业，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区大数据中心每年一季度根据上级通知，组织相关单位开展“算力券”奖补申报工作，审核汇总后，由区大数据中心统一报送至市大数据局，经市级审核、省级复审后</w:t>
      </w:r>
      <w:r>
        <w:rPr>
          <w:rFonts w:hint="default" w:ascii="Times New Roman" w:hAnsi="Times New Roman" w:cs="Times New Roman"/>
          <w:highlight w:val="none"/>
          <w:lang w:eastAsia="zh-CN"/>
        </w:rPr>
        <w:t>按照其算力采购合同实际执行金额最高5%的比例，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由市大数据局会同市财政局直接拨付至受奖补单位，</w:t>
      </w:r>
      <w:r>
        <w:rPr>
          <w:rFonts w:hint="default" w:ascii="Times New Roman" w:hAnsi="Times New Roman" w:cs="Times New Roman"/>
          <w:highlight w:val="none"/>
          <w:lang w:eastAsia="zh-CN"/>
        </w:rPr>
        <w:t>单家企业供、需算力累计奖补总额不超过500万元。积极推荐、服务指导民营科技企业牵头申报国家、省科技重大项目。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深化“企业出题—高校答题”精准对接机制，依托启迪之星、吉林大学驻枣技术转移服务机构等征集技术成果并建立资源库。下沉企业面对面征集技术需求形成清单，按技术领域分类匹配、定向对接，同步对合作项目实行“一对一”跟踪服务，促成产学研合作，助力</w:t>
      </w:r>
      <w:r>
        <w:rPr>
          <w:rFonts w:hint="default" w:ascii="Times New Roman" w:hAnsi="Times New Roman" w:cs="Times New Roman"/>
          <w:highlight w:val="none"/>
          <w:lang w:eastAsia="zh-CN"/>
        </w:rPr>
        <w:t>民营企业提升技术水平和成果转化能力。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区科学技术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工业和信息化局、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财政局、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市场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监督管理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税务局、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大数据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中心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）</w:t>
      </w:r>
    </w:p>
    <w:p w14:paraId="17AA87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十二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）支持民营企业加大技改投入。</w:t>
      </w:r>
      <w:r>
        <w:rPr>
          <w:rFonts w:hint="default" w:ascii="Times New Roman" w:hAnsi="Times New Roman" w:cs="Times New Roman"/>
          <w:highlight w:val="none"/>
          <w:lang w:eastAsia="zh-CN"/>
        </w:rPr>
        <w:t>深入实施技改提级行动，进一步充实技改服务商联盟，提升成员数量和服务质量。大力开展“技改荟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highlight w:val="none"/>
          <w:lang w:eastAsia="zh-CN"/>
        </w:rPr>
        <w:t>数智行”走进企业活动。持续发挥市、区技改基金撬动引领作用，帮助解决技改项目融资难题。建立健全投资过500万元重点技改项目库，年均实施总投资过500万元的民营工业技改项目300个以上。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探索制定300—</w:t>
      </w:r>
      <w:r>
        <w:rPr>
          <w:rFonts w:hint="default" w:ascii="Times New Roman" w:hAnsi="Times New Roman" w:cs="Times New Roman"/>
          <w:highlight w:val="none"/>
          <w:lang w:eastAsia="zh-CN"/>
        </w:rPr>
        <w:t>500万元镇域“微技改”项目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支持政策</w:t>
      </w:r>
      <w:r>
        <w:rPr>
          <w:rFonts w:hint="default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设立300—</w:t>
      </w:r>
      <w:r>
        <w:rPr>
          <w:rFonts w:hint="default" w:ascii="Times New Roman" w:hAnsi="Times New Roman" w:cs="Times New Roman"/>
          <w:highlight w:val="none"/>
          <w:lang w:eastAsia="zh-CN"/>
        </w:rPr>
        <w:t>500万元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工业领域</w:t>
      </w:r>
      <w:r>
        <w:rPr>
          <w:rFonts w:hint="default" w:ascii="Times New Roman" w:hAnsi="Times New Roman" w:cs="Times New Roman"/>
          <w:highlight w:val="none"/>
          <w:lang w:eastAsia="zh-CN"/>
        </w:rPr>
        <w:t>“微技改”项目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库</w:t>
      </w:r>
      <w:r>
        <w:rPr>
          <w:rFonts w:hint="default" w:ascii="Times New Roman" w:hAnsi="Times New Roman" w:cs="Times New Roman"/>
          <w:highlight w:val="none"/>
          <w:lang w:eastAsia="zh-CN"/>
        </w:rPr>
        <w:t>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工业和信息化局、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财政局）</w:t>
      </w:r>
    </w:p>
    <w:p w14:paraId="0711A2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十三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）促进民营企业绿色低碳发展。</w:t>
      </w:r>
      <w:r>
        <w:rPr>
          <w:rFonts w:hint="default" w:ascii="Times New Roman" w:hAnsi="Times New Roman" w:cs="Times New Roman"/>
          <w:highlight w:val="none"/>
          <w:lang w:eastAsia="zh-CN"/>
        </w:rPr>
        <w:t>推动重点用能行业能效提升，抓好电子、轻工、纺织、造纸等非高耗能行业和高技术产业的节能提效，积极推进数字化绿色化协同转型。支持民营经济市场主体参与废旧物资循环利用、大宗固废综合利用、重点行业清洁生产等生态环保项目，积极参与废旧物资循环利用体系建设。支持民营企业积极投资新型储能、虚拟电厂、充电基础设施、智能微电网等能源新技术新业态新模式。健全完善二手商品流通政策体系，鼓励和支持民营企业积极参与二手商品流通交易。拓展“三零”服务对象，将低压办电“零投资”扩大至160千瓦及以下各类民营经济组织，鼓励进一步提升低压接入容量上限。降低粮食加工企业用电成本，支持符合条件的粮食初加工企业申请执行农业生产用电价格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发展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改革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工业和信息化局、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区生态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环境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分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城乡水务局、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区商务和投资促进局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）</w:t>
      </w:r>
    </w:p>
    <w:p w14:paraId="58C7E7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highlight w:val="none"/>
          <w:lang w:eastAsia="zh-CN"/>
        </w:rPr>
        <w:t>四、提升民营经济服务水平</w:t>
      </w:r>
    </w:p>
    <w:p w14:paraId="0975D8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Style w:val="11"/>
          <w:rFonts w:hint="default" w:ascii="Times New Roman" w:hAnsi="Times New Roman" w:cs="Times New Roman"/>
          <w:b/>
          <w:bCs/>
          <w:highlight w:val="none"/>
          <w:lang w:eastAsia="zh-CN"/>
        </w:rPr>
        <w:t>（</w:t>
      </w:r>
      <w:r>
        <w:rPr>
          <w:rStyle w:val="11"/>
          <w:rFonts w:hint="default" w:ascii="Times New Roman" w:hAnsi="Times New Roman" w:cs="Times New Roman"/>
          <w:b/>
          <w:bCs/>
          <w:highlight w:val="none"/>
          <w:lang w:val="en-US" w:eastAsia="zh-CN"/>
        </w:rPr>
        <w:t>十四</w:t>
      </w:r>
      <w:r>
        <w:rPr>
          <w:rStyle w:val="11"/>
          <w:rFonts w:hint="default" w:ascii="Times New Roman" w:hAnsi="Times New Roman" w:cs="Times New Roman"/>
          <w:b/>
          <w:bCs/>
          <w:highlight w:val="none"/>
          <w:lang w:eastAsia="zh-CN"/>
        </w:rPr>
        <w:t>）推动惠企政策“直达快享”。</w:t>
      </w:r>
      <w:r>
        <w:rPr>
          <w:rFonts w:hint="default" w:ascii="Times New Roman" w:hAnsi="Times New Roman" w:cs="Times New Roman"/>
          <w:highlight w:val="none"/>
          <w:lang w:eastAsia="zh-CN"/>
        </w:rPr>
        <w:t>深化惠企政策“直达快享”改革，加强省市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cs="Times New Roman"/>
          <w:highlight w:val="none"/>
          <w:lang w:eastAsia="zh-CN"/>
        </w:rPr>
        <w:t>联动，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用好</w:t>
      </w:r>
      <w:r>
        <w:rPr>
          <w:rFonts w:hint="default" w:ascii="Times New Roman" w:hAnsi="Times New Roman" w:cs="Times New Roman"/>
          <w:highlight w:val="none"/>
          <w:lang w:eastAsia="zh-CN"/>
        </w:rPr>
        <w:t>枣庄市政策兑现平台，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保障“爱山东”app上“鲁惠通”平台持续稳定运行，对个人和企业反映的平台问题，及时联系技术人员进行整改。</w:t>
      </w:r>
      <w:r>
        <w:rPr>
          <w:rFonts w:hint="default" w:ascii="Times New Roman" w:hAnsi="Times New Roman" w:cs="Times New Roman"/>
          <w:highlight w:val="none"/>
          <w:lang w:eastAsia="zh-CN"/>
        </w:rPr>
        <w:t>加强政策梳理、制定服务指南，实现政策兑现“直达快享”“免申即享”常态化运行。发改、财政、工信等部门联合建立政策性资金兑现定期监测机制，对涉及民营企业的中央及省预算内资金、超长期国债、政策性金融工具等政策性资金兑付情况实施常态化跟踪监测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发展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改革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区科学技术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工业和信息化局、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财政局、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人力资源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社会保障局、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区商务和投资促进局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市场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监督管理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大数据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中心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）</w:t>
      </w:r>
    </w:p>
    <w:p w14:paraId="035613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十五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）持续扩大民间投资。</w:t>
      </w:r>
      <w:r>
        <w:rPr>
          <w:rFonts w:hint="default" w:ascii="Times New Roman" w:hAnsi="Times New Roman" w:cs="Times New Roman"/>
          <w:highlight w:val="none"/>
          <w:lang w:eastAsia="zh-CN"/>
        </w:rPr>
        <w:t>建立民间投资重点项目库，强化民间投资项目储备。加强民营企业参与“两重”“两新”的指导、培训和服务。支持民</w:t>
      </w:r>
      <w:r>
        <w:rPr>
          <w:rStyle w:val="12"/>
          <w:rFonts w:hint="default" w:ascii="Times New Roman" w:hAnsi="Times New Roman" w:cs="Times New Roman"/>
          <w:highlight w:val="none"/>
          <w:lang w:eastAsia="zh-CN"/>
        </w:rPr>
        <w:t>间资本参与重大公共服务等领域项目建设，积极推动符合条件的民间投资项目纳入省、市、</w:t>
      </w:r>
      <w:r>
        <w:rPr>
          <w:rStyle w:val="12"/>
          <w:rFonts w:hint="default" w:ascii="Times New Roman" w:hAnsi="Times New Roman" w:cs="Times New Roman"/>
          <w:highlight w:val="none"/>
          <w:lang w:val="en-US" w:eastAsia="zh-CN"/>
        </w:rPr>
        <w:t>区</w:t>
      </w:r>
      <w:r>
        <w:rPr>
          <w:rStyle w:val="12"/>
          <w:rFonts w:hint="default" w:ascii="Times New Roman" w:hAnsi="Times New Roman" w:cs="Times New Roman"/>
          <w:highlight w:val="none"/>
          <w:lang w:eastAsia="zh-CN"/>
        </w:rPr>
        <w:t>重点项目名单。常态化筛选优质项目，</w:t>
      </w:r>
      <w:r>
        <w:rPr>
          <w:rFonts w:hint="default" w:ascii="Times New Roman" w:hAnsi="Times New Roman" w:cs="Times New Roman"/>
          <w:highlight w:val="none"/>
          <w:lang w:eastAsia="zh-CN"/>
        </w:rPr>
        <w:t>通过全国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向</w:t>
      </w:r>
      <w:r>
        <w:rPr>
          <w:rFonts w:hint="default" w:ascii="Times New Roman" w:hAnsi="Times New Roman" w:cs="Times New Roman"/>
          <w:highlight w:val="none"/>
          <w:lang w:eastAsia="zh-CN"/>
        </w:rPr>
        <w:t>民间资本推介项目平台向全社会推介。指导民营企业做好项目谋划梳理，积极争取新型政策性金融工具。鼓励民营企业参与国有企业混合所有制改革，除国家明确规定应当由国有资本控股的领域外，民营资本可在混合所有制企业中控股，保障民营资本在混合所有制中的权益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发展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改革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财政局、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区商务和投资促进局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区国有资产监督管理局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）</w:t>
      </w:r>
    </w:p>
    <w:p w14:paraId="574B02A0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十六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支持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民营企业拓展市场。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组织我区企业参加省、市外事部门组织的“对话山东”等国际交流活动，利用国际交流合作平台为企业提供优质项目线索服务，用好双边、多边外事资源，为企业“走出去”提供更多机遇。指导我区企业办理外国人来华邀请，重点开拓“一带一路”国家市场，邀请国外客商到企业现场考察洽谈，提高项目合作、商务洽谈成功率，服务企业“请进来”更便利。</w:t>
      </w:r>
      <w:r>
        <w:rPr>
          <w:rFonts w:hint="default" w:ascii="Times New Roman" w:hAnsi="Times New Roman" w:cs="Times New Roman"/>
          <w:highlight w:val="none"/>
          <w:lang w:eastAsia="zh-CN"/>
        </w:rPr>
        <w:t>鼓励民营企业参与共建“一带一路”，参加“对话山东”等线上线下经贸活动。帮助民营企业对接头部电商平台，支持传统制造业企业开展电商销售。商务等相关部门建立完善挂点联系民营重点外贸企业帮包机制，不定期召开民营企业座谈会，帮助企业提升市场开拓能力。支持国有企业与民营企业联合开发建设房地产项目，探索通过股权合作、代建代管、联合开发等合作模式，构建风险共担、利益共享的合作机制。支持民营企业参与“好房子”建设，鼓励支持高品质住宅项目积极申报国家和省级奖项。支持民营建筑业企业与国有企业联合参与棚改、城中村改造等城市更新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支持民营企业参与城市房屋、土地等资产资源处置盘活。鼓励民间资本参与建设运营规模较小、具有盈利空间的城市基础设施领域新建项目。引导民间资本有序参与低空经济领域基础设施建设。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区政府办公室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工商联、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区财政局、区自然资源局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住房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城乡建设局、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区交通运输局、区商务和投资促进局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区国有资产监督管理局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）</w:t>
      </w:r>
    </w:p>
    <w:p w14:paraId="6052B5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highlight w:val="none"/>
          <w:lang w:eastAsia="zh-CN"/>
        </w:rPr>
        <w:t>五、全面构建亲清政商关系</w:t>
      </w:r>
    </w:p>
    <w:p w14:paraId="5179FD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十七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）常态化梳理汇总民营企业建议诉求。</w:t>
      </w:r>
      <w:r>
        <w:rPr>
          <w:rFonts w:hint="default" w:ascii="Times New Roman" w:hAnsi="Times New Roman" w:cs="Times New Roman"/>
          <w:highlight w:val="none"/>
          <w:lang w:eastAsia="zh-CN"/>
        </w:rPr>
        <w:t>落实政商交往负面清单，制定完善清廉民企建设“指导清单”。建立重点民营企业库，搭建与民营企业家常态化沟通交流平台，邀请优秀企业家开展有关咨政活动、参与涉企政策制定、参加全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cs="Times New Roman"/>
          <w:highlight w:val="none"/>
          <w:lang w:eastAsia="zh-CN"/>
        </w:rPr>
        <w:t>重要经济会议。扎实开展服务民营企业专项行动，构建区级领导及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cs="Times New Roman"/>
          <w:highlight w:val="none"/>
          <w:lang w:eastAsia="zh-CN"/>
        </w:rPr>
        <w:t>直部门、项目专员分级帮包和“一体化”服务体系，深化发改、工信、财政、自然资源、生态环境、商务等部门与重点民营企业（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highlight w:val="none"/>
          <w:lang w:eastAsia="zh-CN"/>
        </w:rPr>
        <w:t>）常态化帮包服务机制，全面掌握企业诉求。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纪委监委机关、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区委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统战部、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工商联、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发展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改革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工业和信息化局、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财政局、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自然资源局、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生态环境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分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区商务和投资促进局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）</w:t>
      </w:r>
    </w:p>
    <w:p w14:paraId="49C938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十八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）完善企业诉求办理机制。</w:t>
      </w:r>
      <w:r>
        <w:rPr>
          <w:rFonts w:hint="default" w:ascii="Times New Roman" w:hAnsi="Times New Roman" w:cs="Times New Roman"/>
          <w:highlight w:val="none"/>
          <w:lang w:eastAsia="zh-CN"/>
        </w:rPr>
        <w:t>发挥国家民营经济发展综合服务、省“接诉即办”“枣解决·枣满意”经济运行监测等平台作用，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扎实开展服务民营企业专项行动，</w:t>
      </w:r>
      <w:r>
        <w:rPr>
          <w:rFonts w:hint="default" w:ascii="Times New Roman" w:hAnsi="Times New Roman" w:cs="Times New Roman"/>
          <w:highlight w:val="none"/>
          <w:lang w:eastAsia="zh-CN"/>
        </w:rPr>
        <w:t>健全完善“集中受理、交办承办、限时办理、闭环运行、督办督查、回访评价”诉求解决机制，加快构建“企业出题、政府解题”的为企服务工作格局。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发展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改革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eastAsia" w:eastAsia="楷体_GB2312" w:cs="Times New Roman"/>
          <w:highlight w:val="none"/>
          <w:lang w:val="en-US" w:eastAsia="zh-CN"/>
        </w:rPr>
        <w:t>委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社会工作部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等有关部门单位）</w:t>
      </w:r>
    </w:p>
    <w:p w14:paraId="6AC77F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十九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）持续提升民营企业家获得感。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在</w:t>
      </w:r>
      <w:r>
        <w:rPr>
          <w:rFonts w:hint="default" w:ascii="Times New Roman" w:hAnsi="Times New Roman" w:cs="Times New Roman"/>
          <w:highlight w:val="none"/>
          <w:lang w:eastAsia="zh-CN"/>
        </w:rPr>
        <w:t>区级主流新闻媒体开设专栏，大力弘扬企业家精神。推荐民营企业家参与各级劳动模范、五一劳动奖章的表彰表扬。加强对民营经济人士的梯次培养，建立健全年轻一代民营经济人士传帮带辅导制度，推动事业新老交接和有序传承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区委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宣传部、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区委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统战部、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总工会、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工商联、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发展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改革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工业和信息化局、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区融媒体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中心）</w:t>
      </w:r>
    </w:p>
    <w:p w14:paraId="7FCA07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二十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eastAsia="zh-CN"/>
        </w:rPr>
        <w:t>）健全民营经济监测体系。</w:t>
      </w:r>
      <w:r>
        <w:rPr>
          <w:rFonts w:hint="default" w:ascii="Times New Roman" w:hAnsi="Times New Roman" w:cs="Times New Roman"/>
          <w:highlight w:val="none"/>
          <w:lang w:eastAsia="zh-CN"/>
        </w:rPr>
        <w:t>健全完善民营经济高质量发展评价指标体系，加强民营经济发展情况的调度监测、分析预警，定期对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枣庄经济开发区、</w:t>
      </w:r>
      <w:r>
        <w:rPr>
          <w:rFonts w:hint="default" w:ascii="Times New Roman" w:hAnsi="Times New Roman" w:cs="Times New Roman"/>
          <w:highlight w:val="none"/>
          <w:lang w:eastAsia="zh-CN"/>
        </w:rPr>
        <w:t>各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镇街</w:t>
      </w:r>
      <w:r>
        <w:rPr>
          <w:rFonts w:hint="default" w:ascii="Times New Roman" w:hAnsi="Times New Roman" w:cs="Times New Roman"/>
          <w:highlight w:val="none"/>
          <w:lang w:eastAsia="zh-CN"/>
        </w:rPr>
        <w:t>民营经济发展情况开展综合评价，分析研判民营经济发展状况。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（责任单位：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发展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改革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局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区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统计局）</w:t>
      </w:r>
    </w:p>
    <w:p w14:paraId="085D1C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各级各部门</w:t>
      </w:r>
      <w:r>
        <w:rPr>
          <w:rFonts w:hint="default" w:ascii="Times New Roman" w:hAnsi="Times New Roman" w:cs="Times New Roman"/>
          <w:highlight w:val="none"/>
          <w:lang w:eastAsia="zh-CN"/>
        </w:rPr>
        <w:t>要锚定“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工业强区、产业兴区、城建立区</w:t>
      </w:r>
      <w:r>
        <w:rPr>
          <w:rFonts w:hint="default" w:ascii="Times New Roman" w:hAnsi="Times New Roman" w:cs="Times New Roman"/>
          <w:highlight w:val="none"/>
          <w:lang w:eastAsia="zh-CN"/>
        </w:rPr>
        <w:t>”目标，认真抓好政策的细化实施，加强典型引导，强化服务保障，持续拓展民营经济发展空间，推动各项工作增速进位、总量前移，全面开创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创新转型高质量发展</w:t>
      </w:r>
      <w:r>
        <w:rPr>
          <w:rFonts w:hint="default" w:ascii="Times New Roman" w:hAnsi="Times New Roman" w:cs="Times New Roman"/>
          <w:highlight w:val="none"/>
          <w:lang w:eastAsia="zh-CN"/>
        </w:rPr>
        <w:t>新局面。</w:t>
      </w:r>
    </w:p>
    <w:p w14:paraId="69648F91">
      <w:pPr>
        <w:rPr>
          <w:rFonts w:hint="default" w:ascii="Times New Roman" w:hAnsi="Times New Roman" w:cs="Times New Roman"/>
          <w:highlight w:val="none"/>
          <w:lang w:eastAsia="zh-CN"/>
        </w:rPr>
      </w:pPr>
    </w:p>
    <w:p w14:paraId="12F8DF42">
      <w:pPr>
        <w:rPr>
          <w:rFonts w:hint="default" w:ascii="Times New Roman" w:hAnsi="Times New Roman" w:cs="Times New Roman"/>
          <w:highlight w:val="none"/>
          <w:lang w:eastAsia="zh-CN"/>
        </w:rPr>
      </w:pPr>
    </w:p>
    <w:p w14:paraId="72A662F9">
      <w:pPr>
        <w:pStyle w:val="2"/>
        <w:rPr>
          <w:rFonts w:hint="default" w:ascii="Times New Roman" w:hAnsi="Times New Roman" w:cs="Times New Roman"/>
          <w:highlight w:val="none"/>
          <w:lang w:eastAsia="zh-CN"/>
        </w:rPr>
      </w:pPr>
    </w:p>
    <w:p w14:paraId="7F624EC2">
      <w:pPr>
        <w:rPr>
          <w:rFonts w:hint="default" w:ascii="Times New Roman" w:hAnsi="Times New Roman" w:cs="Times New Roman"/>
          <w:highlight w:val="none"/>
          <w:lang w:eastAsia="zh-CN"/>
        </w:rPr>
      </w:pPr>
    </w:p>
    <w:p w14:paraId="508F144F">
      <w:pPr>
        <w:pStyle w:val="2"/>
        <w:rPr>
          <w:rFonts w:hint="default" w:ascii="Times New Roman" w:hAnsi="Times New Roman" w:cs="Times New Roman"/>
          <w:highlight w:val="none"/>
          <w:lang w:eastAsia="zh-CN"/>
        </w:rPr>
      </w:pPr>
    </w:p>
    <w:p w14:paraId="61ED85F9">
      <w:pPr>
        <w:rPr>
          <w:rFonts w:hint="default" w:ascii="Times New Roman" w:hAnsi="Times New Roman" w:cs="Times New Roman"/>
          <w:highlight w:val="none"/>
          <w:lang w:eastAsia="zh-CN"/>
        </w:rPr>
      </w:pPr>
    </w:p>
    <w:p w14:paraId="25F88B14">
      <w:pPr>
        <w:pStyle w:val="2"/>
        <w:rPr>
          <w:rFonts w:hint="default" w:ascii="Times New Roman" w:hAnsi="Times New Roman" w:cs="Times New Roman"/>
          <w:highlight w:val="none"/>
          <w:lang w:eastAsia="zh-CN"/>
        </w:rPr>
      </w:pPr>
    </w:p>
    <w:p w14:paraId="0F91236E">
      <w:pPr>
        <w:rPr>
          <w:rFonts w:hint="default" w:ascii="Times New Roman" w:hAnsi="Times New Roman" w:cs="Times New Roman"/>
          <w:highlight w:val="none"/>
          <w:lang w:eastAsia="zh-CN"/>
        </w:rPr>
      </w:pPr>
    </w:p>
    <w:p w14:paraId="2F5B5BFB">
      <w:pPr>
        <w:pStyle w:val="2"/>
        <w:rPr>
          <w:rFonts w:hint="default" w:ascii="Times New Roman" w:hAnsi="Times New Roman" w:cs="Times New Roman"/>
          <w:highlight w:val="none"/>
          <w:lang w:eastAsia="zh-CN"/>
        </w:rPr>
      </w:pPr>
    </w:p>
    <w:p w14:paraId="5ABBF58B">
      <w:pPr>
        <w:rPr>
          <w:rFonts w:hint="default" w:ascii="Times New Roman" w:hAnsi="Times New Roman" w:cs="Times New Roman"/>
          <w:highlight w:val="none"/>
          <w:lang w:eastAsia="zh-CN"/>
        </w:rPr>
      </w:pPr>
    </w:p>
    <w:p w14:paraId="0DC76DE2">
      <w:pPr>
        <w:pStyle w:val="2"/>
        <w:rPr>
          <w:rFonts w:hint="default" w:ascii="Times New Roman" w:hAnsi="Times New Roman" w:cs="Times New Roman"/>
          <w:highlight w:val="none"/>
          <w:lang w:eastAsia="zh-CN"/>
        </w:rPr>
      </w:pPr>
    </w:p>
    <w:p w14:paraId="3C3469CC">
      <w:pPr>
        <w:rPr>
          <w:rFonts w:hint="default" w:ascii="Times New Roman" w:hAnsi="Times New Roman" w:cs="Times New Roman"/>
          <w:highlight w:val="none"/>
          <w:lang w:eastAsia="zh-CN"/>
        </w:rPr>
      </w:pPr>
    </w:p>
    <w:p w14:paraId="64EB43DD">
      <w:pPr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644" w:right="1644" w:bottom="1644" w:left="1644" w:header="851" w:footer="1191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CE61BA-8DF1-4A4F-910F-F43F36373F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F88F14-4E11-40FC-A781-F914E78A0C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C6C5ED7-9D2B-4159-A986-42FF34BE82B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954D70F-9B46-41B4-B664-D8503E0EAD5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F255A3A-78E1-4B88-9B5B-F03F15BE39EE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9BBD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33152">
                          <w:pPr>
                            <w:pStyle w:val="7"/>
                            <w:ind w:left="0" w:leftChars="0" w:firstLine="0" w:firstLineChars="0"/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33152">
                    <w:pPr>
                      <w:pStyle w:val="7"/>
                      <w:ind w:left="0" w:leftChars="0" w:firstLine="0" w:firstLineChars="0"/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06D1"/>
    <w:rsid w:val="00FC3E1B"/>
    <w:rsid w:val="01395B88"/>
    <w:rsid w:val="014E1EBC"/>
    <w:rsid w:val="01A00516"/>
    <w:rsid w:val="04830194"/>
    <w:rsid w:val="05CB1DF3"/>
    <w:rsid w:val="06113EC5"/>
    <w:rsid w:val="0775167C"/>
    <w:rsid w:val="09FD21CB"/>
    <w:rsid w:val="0D186481"/>
    <w:rsid w:val="0D507320"/>
    <w:rsid w:val="0E8F3D56"/>
    <w:rsid w:val="101863CA"/>
    <w:rsid w:val="114F1D45"/>
    <w:rsid w:val="11932122"/>
    <w:rsid w:val="1212628E"/>
    <w:rsid w:val="14794842"/>
    <w:rsid w:val="147A7E89"/>
    <w:rsid w:val="159A4746"/>
    <w:rsid w:val="168577A1"/>
    <w:rsid w:val="179574EB"/>
    <w:rsid w:val="190D2A73"/>
    <w:rsid w:val="1995535E"/>
    <w:rsid w:val="19A3087E"/>
    <w:rsid w:val="1A393377"/>
    <w:rsid w:val="1AAB623F"/>
    <w:rsid w:val="1B0E4DED"/>
    <w:rsid w:val="1B8F3C70"/>
    <w:rsid w:val="1BEF58E4"/>
    <w:rsid w:val="1C694365"/>
    <w:rsid w:val="1DD51824"/>
    <w:rsid w:val="1F413615"/>
    <w:rsid w:val="1FCF03A7"/>
    <w:rsid w:val="26A30712"/>
    <w:rsid w:val="28680D51"/>
    <w:rsid w:val="2A443FBA"/>
    <w:rsid w:val="2C8C4B8D"/>
    <w:rsid w:val="2C9F026F"/>
    <w:rsid w:val="2D63278D"/>
    <w:rsid w:val="2DBE4083"/>
    <w:rsid w:val="322C65EC"/>
    <w:rsid w:val="32A01FA9"/>
    <w:rsid w:val="37DE260D"/>
    <w:rsid w:val="38B85D16"/>
    <w:rsid w:val="399214A9"/>
    <w:rsid w:val="3A14701E"/>
    <w:rsid w:val="3AA412C3"/>
    <w:rsid w:val="3C7B6607"/>
    <w:rsid w:val="3F272A8F"/>
    <w:rsid w:val="3FEA0D08"/>
    <w:rsid w:val="40DD6C25"/>
    <w:rsid w:val="43DD7143"/>
    <w:rsid w:val="471843AC"/>
    <w:rsid w:val="484D62D8"/>
    <w:rsid w:val="49AB48CC"/>
    <w:rsid w:val="4C8E2454"/>
    <w:rsid w:val="4D243AAB"/>
    <w:rsid w:val="4E0108D5"/>
    <w:rsid w:val="4E153A2A"/>
    <w:rsid w:val="4EBA2B38"/>
    <w:rsid w:val="4EC57935"/>
    <w:rsid w:val="512B77EE"/>
    <w:rsid w:val="515E7A61"/>
    <w:rsid w:val="53FB3337"/>
    <w:rsid w:val="54D61DED"/>
    <w:rsid w:val="54F00716"/>
    <w:rsid w:val="55A03EEB"/>
    <w:rsid w:val="56A33C92"/>
    <w:rsid w:val="57EB78D1"/>
    <w:rsid w:val="5BA20372"/>
    <w:rsid w:val="60CF38D6"/>
    <w:rsid w:val="621719D8"/>
    <w:rsid w:val="62314523"/>
    <w:rsid w:val="62A6471A"/>
    <w:rsid w:val="63854504"/>
    <w:rsid w:val="646A2293"/>
    <w:rsid w:val="659D0447"/>
    <w:rsid w:val="67AC73EE"/>
    <w:rsid w:val="680B5A73"/>
    <w:rsid w:val="68386205"/>
    <w:rsid w:val="6892201E"/>
    <w:rsid w:val="689E69AF"/>
    <w:rsid w:val="6C5C7CB3"/>
    <w:rsid w:val="6CBA368C"/>
    <w:rsid w:val="6DDB21C9"/>
    <w:rsid w:val="6E4B6F06"/>
    <w:rsid w:val="6E68535D"/>
    <w:rsid w:val="6F954251"/>
    <w:rsid w:val="70571607"/>
    <w:rsid w:val="70D95394"/>
    <w:rsid w:val="72402336"/>
    <w:rsid w:val="72DF559C"/>
    <w:rsid w:val="744F01E8"/>
    <w:rsid w:val="745443C6"/>
    <w:rsid w:val="74CA5026"/>
    <w:rsid w:val="761E6A3A"/>
    <w:rsid w:val="766F3739"/>
    <w:rsid w:val="78536F8A"/>
    <w:rsid w:val="7C350F81"/>
    <w:rsid w:val="7C6509E7"/>
    <w:rsid w:val="7E0C4319"/>
    <w:rsid w:val="7E503E50"/>
    <w:rsid w:val="7E8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</w:rPr>
  </w:style>
  <w:style w:type="paragraph" w:styleId="5">
    <w:name w:val="heading 3"/>
    <w:link w:val="12"/>
    <w:unhideWhenUsed/>
    <w:qFormat/>
    <w:uiPriority w:val="0"/>
    <w:pPr>
      <w:spacing w:beforeAutospacing="0" w:afterAutospacing="0" w:line="560" w:lineRule="exact"/>
      <w:ind w:firstLine="883" w:firstLineChars="200"/>
      <w:jc w:val="left"/>
      <w:outlineLvl w:val="2"/>
    </w:pPr>
    <w:rPr>
      <w:rFonts w:hint="eastAsia" w:ascii="Times New Roman" w:hAnsi="Times New Roman" w:eastAsia="仿宋_GB2312" w:cstheme="minorBidi"/>
      <w:kern w:val="0"/>
      <w:sz w:val="32"/>
      <w:szCs w:val="32"/>
    </w:rPr>
  </w:style>
  <w:style w:type="paragraph" w:styleId="6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3"/>
    </w:pPr>
    <w:rPr>
      <w:rFonts w:ascii="Times New Roman" w:hAnsi="Times New Roman" w:eastAsia="楷体_GB2312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4 Char"/>
    <w:link w:val="6"/>
    <w:qFormat/>
    <w:uiPriority w:val="0"/>
    <w:rPr>
      <w:rFonts w:ascii="Times New Roman" w:hAnsi="Times New Roman" w:eastAsia="楷体_GB2312"/>
      <w:sz w:val="32"/>
      <w:szCs w:val="32"/>
    </w:rPr>
  </w:style>
  <w:style w:type="character" w:customStyle="1" w:styleId="12">
    <w:name w:val="标题 3 Char"/>
    <w:link w:val="5"/>
    <w:qFormat/>
    <w:uiPriority w:val="0"/>
    <w:rPr>
      <w:rFonts w:hint="eastAsia" w:ascii="Times New Roman" w:hAnsi="Times New Roman" w:eastAsia="仿宋_GB2312" w:cstheme="minorBidi"/>
      <w:kern w:val="0"/>
      <w:sz w:val="32"/>
      <w:szCs w:val="32"/>
    </w:rPr>
  </w:style>
  <w:style w:type="paragraph" w:customStyle="1" w:styleId="13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ca1dcfb0-ac5b-4fe8-97e4-c2fcf84a3c57</errorID>
      <errorWord>法治营商环境</errorWord>
      <group>L1_Political</group>
      <groupName>政治性问题</groupName>
      <ability>L2_Keyword</ability>
      <abilityName>固定表述</abilityName>
      <candidateList>
        <item>法治化营商环境</item>
      </candidateList>
      <explain>词汇“法治化营商环境”在特定场景下为固定表述形式，请确认此处的“法治营商环境”是否存在不当。</explain>
      <paraID>19B855D2</paraID>
      <start>396</start>
      <end>402</end>
      <status>unmodified</status>
      <modifiedWord/>
      <trackRevisions>false</trackRevisions>
    </reviewItem>
    <reviewItem>
      <errorID>6cc95d84-6e37-48cf-be55-5295db3c3718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 CC58182</paraID>
      <start>3</start>
      <end>5</end>
      <status>unmodified</status>
      <modifiedWord/>
      <trackRevisions>false</trackRevisions>
    </reviewItem>
    <reviewItem>
      <errorID>dade37cf-ed62-4b77-96da-4bfd7a9dcb01</errorID>
      <errorWord>优质企业梯次培育体系</errorWord>
      <group>L1_Political</group>
      <groupName>政治性问题</groupName>
      <ability>L2_Keyword</ability>
      <abilityName>固定表述</abilityName>
      <candidateList>
        <item>优质企业梯度培育体系</item>
      </candidateList>
      <explain>词汇“优质企业梯度培育体系”在特定场景下为固定表述形式，请确认此处的“优质企业梯次培育体系”是否存在不当。</explain>
      <paraID>4B34AAC2</paraID>
      <start>102</start>
      <end>112</end>
      <status>unmodified</status>
      <modifiedWord/>
      <trackRevisions>false</trackRevisions>
    </reviewItem>
    <reviewItem>
      <errorID>ec093374-a87a-4948-8e2b-54c029c7f61a</errorID>
      <errorWord>300—500万</errorWord>
      <group>L1_Knowledge</group>
      <groupName>知识性问题</groupName>
      <ability>L2_Knowledge</ability>
      <abilityName>其他知识</abilityName>
      <candidateList>
        <item>300万—500万</item>
      </candidateList>
      <explain>1. “300—500万”中的单位“万”仅出现在后一个数字上，容易引起歧义；根据《现代汉语标点符号数字用法规范手册》，数字表示范围两边需要使用统一的格式。2.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17AA871B</paraID>
      <start>157</start>
      <end>165</end>
      <status>unmodified</status>
      <modifiedWord/>
      <trackRevisions>false</trackRevisions>
    </reviewItem>
    <reviewItem>
      <errorID>dc2aee7c-28e4-400e-96c4-23a08eba7964</errorID>
      <errorWord>300—500万</errorWord>
      <group>L1_Knowledge</group>
      <groupName>知识性问题</groupName>
      <ability>L2_Knowledge</ability>
      <abilityName>其他知识</abilityName>
      <candidateList>
        <item>300万—500万</item>
      </candidateList>
      <explain>1. “300—500万”中的单位“万”仅出现在后一个数字上，容易引起歧义；根据《现代汉语标点符号数字用法规范手册》，数字表示范围两边需要使用统一的格式。2.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17AA871B</paraID>
      <start>182</start>
      <end>190</end>
      <status>unmodified</status>
      <modifiedWord/>
      <trackRevisions>false</trackRevisions>
    </reviewItem>
    <reviewItem>
      <errorID>6e340203-1dbf-4776-a2b2-8bf39983b7c4</errorID>
      <errorWord>区社会工作部</errorWord>
      <group>L1_Political</group>
      <groupName>政治性问题</groupName>
      <ability>L2_Unpolitical</ability>
      <abilityName>政治敏感错误</abilityName>
      <candidateList>
        <item>区委社会工作部</item>
      </candidateList>
      <explain>机关单位名称不规范，请注意审核。</explain>
      <paraID>49C938FE</paraID>
      <start>154</start>
      <end>160</end>
      <status>unmodified</status>
      <modifiedWord/>
      <trackRevisions>false</trackRevisions>
    </reviewItem>
    <reviewItem>
      <errorID>efcdac84-953e-4f8d-be9e-54fa0a264208</errorID>
      <errorWord>五一劳动奖章</errorWord>
      <group>L1_Political</group>
      <groupName>政治性问题</groupName>
      <ability>L2_Keyword</ability>
      <abilityName>固定表述</abilityName>
      <candidateList>
        <item>“五一劳动奖章”</item>
      </candidateList>
      <explain>注意检查当前固定表述标点是否使用规范。</explain>
      <paraID>6AC77FCB</paraID>
      <start>57</start>
      <end>63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0dccca-40ff-4d0e-956d-44b84b747c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6524</Words>
  <Characters>6574</Characters>
  <Lines>0</Lines>
  <Paragraphs>0</Paragraphs>
  <TotalTime>5</TotalTime>
  <ScaleCrop>false</ScaleCrop>
  <LinksUpToDate>false</LinksUpToDate>
  <CharactersWithSpaces>6585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2025-01-04T03:31:00Z</dcterms:created>
  <dc:creator>Administrator</dc:creator>
  <cp:lastModifiedBy>lirong</cp:lastModifiedBy>
  <cp:lastPrinted>2026-04-10T02:25:00Z</cp:lastPrinted>
  <dcterms:modified xsi:type="dcterms:W3CDTF">2026-04-13T03:34:20Z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E354600CF1A640A8B1EDED16A2388B10_13</vt:lpwstr>
  </property>
  <property fmtid="{D5CDD505-2E9C-101B-9397-08002B2CF9AE}" pid="4" name="KSOTemplateDocerSaveRecord">
    <vt:lpwstr>eyJoZGlkIjoiZWMyZTUwNzlkOTJkYTBjNmI3YTM1N2I5ODdjZGE5NjQiLCJ1c2VySWQiOiI1OTI1MDE1NDYifQ==</vt:lpwstr>
  </property>
</Properties>
</file>